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18E8" w14:textId="3E05751B" w:rsidR="00CF79E9" w:rsidRPr="00455C91" w:rsidRDefault="007F09D4" w:rsidP="0068641C">
      <w:pPr>
        <w:snapToGrid w:val="0"/>
        <w:spacing w:afterLines="50" w:after="180" w:line="520" w:lineRule="exact"/>
        <w:ind w:leftChars="-59" w:left="-142" w:rightChars="-100" w:right="-240"/>
        <w:jc w:val="both"/>
        <w:rPr>
          <w:rFonts w:ascii="標楷體" w:eastAsia="標楷體"/>
          <w:bCs/>
          <w:color w:val="000000"/>
          <w:sz w:val="32"/>
          <w:szCs w:val="32"/>
        </w:rPr>
      </w:pPr>
      <w:r w:rsidRPr="00455C91">
        <w:rPr>
          <w:rFonts w:ascii="Times New Roman" w:eastAsia="標楷體" w:hAnsi="Times New Roman" w:cs="Times New Roman"/>
          <w:bCs/>
          <w:noProof/>
          <w:color w:val="000000" w:themeColor="text1"/>
          <w:sz w:val="32"/>
          <w:szCs w:val="32"/>
        </w:rPr>
        <mc:AlternateContent>
          <mc:Choice Requires="wps">
            <w:drawing>
              <wp:anchor distT="45720" distB="45720" distL="114300" distR="114300" simplePos="0" relativeHeight="251659264" behindDoc="1" locked="0" layoutInCell="1" allowOverlap="1" wp14:anchorId="34989F74" wp14:editId="64E3D8FD">
                <wp:simplePos x="0" y="0"/>
                <wp:positionH relativeFrom="margin">
                  <wp:align>left</wp:align>
                </wp:positionH>
                <wp:positionV relativeFrom="paragraph">
                  <wp:posOffset>-350874</wp:posOffset>
                </wp:positionV>
                <wp:extent cx="771276" cy="1404620"/>
                <wp:effectExtent l="0" t="0" r="1016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276" cy="1404620"/>
                        </a:xfrm>
                        <a:prstGeom prst="rect">
                          <a:avLst/>
                        </a:prstGeom>
                        <a:solidFill>
                          <a:srgbClr val="FFFFFF"/>
                        </a:solidFill>
                        <a:ln w="9525">
                          <a:solidFill>
                            <a:srgbClr val="000000"/>
                          </a:solidFill>
                          <a:miter lim="800000"/>
                          <a:headEnd/>
                          <a:tailEnd/>
                        </a:ln>
                      </wps:spPr>
                      <wps:txbx>
                        <w:txbxContent>
                          <w:p w14:paraId="624BE7ED" w14:textId="40B61CC8" w:rsidR="007F09D4" w:rsidRPr="00183A34" w:rsidRDefault="007F09D4" w:rsidP="007F09D4">
                            <w:pPr>
                              <w:spacing w:line="300" w:lineRule="exact"/>
                              <w:rPr>
                                <w:rFonts w:ascii="Times New Roman" w:eastAsia="標楷體" w:hAnsi="Times New Roman" w:cs="Times New Roman"/>
                                <w:sz w:val="28"/>
                                <w:szCs w:val="28"/>
                              </w:rPr>
                            </w:pPr>
                            <w:r w:rsidRPr="00183A34">
                              <w:rPr>
                                <w:rFonts w:ascii="Times New Roman" w:eastAsia="標楷體" w:hAnsi="Times New Roman" w:cs="Times New Roman"/>
                                <w:sz w:val="28"/>
                                <w:szCs w:val="28"/>
                              </w:rPr>
                              <w:t>附件</w:t>
                            </w:r>
                            <w:r w:rsidR="000D75E6">
                              <w:rPr>
                                <w:rFonts w:ascii="Times New Roman" w:eastAsia="標楷體" w:hAnsi="Times New Roman" w:cs="Times New Roman"/>
                                <w:sz w:val="28"/>
                                <w:szCs w:val="28"/>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989F74" id="_x0000_t202" coordsize="21600,21600" o:spt="202" path="m,l,21600r21600,l21600,xe">
                <v:stroke joinstyle="miter"/>
                <v:path gradientshapeok="t" o:connecttype="rect"/>
              </v:shapetype>
              <v:shape id="文字方塊 2" o:spid="_x0000_s1026" type="#_x0000_t202" style="position:absolute;left:0;text-align:left;margin-left:0;margin-top:-27.65pt;width:60.75pt;height:110.6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">
                <v:textbox style="mso-fit-shape-to-text:t">
                  <w:txbxContent>
                    <w:p w14:paraId="624BE7ED" w14:textId="40B61CC8" w:rsidR="007F09D4" w:rsidRPr="00183A34" w:rsidRDefault="007F09D4" w:rsidP="007F09D4">
                      <w:pPr>
                        <w:spacing w:line="300" w:lineRule="exact"/>
                        <w:rPr>
                          <w:rFonts w:ascii="Times New Roman" w:eastAsia="標楷體" w:hAnsi="Times New Roman" w:cs="Times New Roman"/>
                          <w:sz w:val="28"/>
                          <w:szCs w:val="28"/>
                        </w:rPr>
                      </w:pPr>
                      <w:r w:rsidRPr="00183A34">
                        <w:rPr>
                          <w:rFonts w:ascii="Times New Roman" w:eastAsia="標楷體" w:hAnsi="Times New Roman" w:cs="Times New Roman"/>
                          <w:sz w:val="28"/>
                          <w:szCs w:val="28"/>
                        </w:rPr>
                        <w:t>附件</w:t>
                      </w:r>
                      <w:r w:rsidR="000D75E6">
                        <w:rPr>
                          <w:rFonts w:ascii="Times New Roman" w:eastAsia="標楷體" w:hAnsi="Times New Roman" w:cs="Times New Roman"/>
                          <w:sz w:val="28"/>
                          <w:szCs w:val="28"/>
                        </w:rPr>
                        <w:t>4</w:t>
                      </w:r>
                    </w:p>
                  </w:txbxContent>
                </v:textbox>
                <w10:wrap anchorx="margin"/>
              </v:shape>
            </w:pict>
          </mc:Fallback>
        </mc:AlternateContent>
      </w:r>
      <w:r w:rsidR="00CF79E9" w:rsidRPr="00455C91">
        <w:rPr>
          <w:rFonts w:ascii="標楷體" w:eastAsia="標楷體" w:hint="eastAsia"/>
          <w:bCs/>
          <w:color w:val="000000"/>
          <w:sz w:val="32"/>
          <w:szCs w:val="32"/>
        </w:rPr>
        <w:t>中華民國證券商業同業公會「</w:t>
      </w:r>
      <w:r w:rsidR="00D0062E" w:rsidRPr="00455C91">
        <w:rPr>
          <w:rFonts w:ascii="標楷體" w:eastAsia="標楷體" w:hint="eastAsia"/>
          <w:bCs/>
          <w:color w:val="000000"/>
          <w:sz w:val="32"/>
          <w:szCs w:val="32"/>
        </w:rPr>
        <w:t>證券商承銷有價證券承銷公告應行記載事項要點</w:t>
      </w:r>
      <w:r w:rsidR="00CF79E9" w:rsidRPr="00455C91">
        <w:rPr>
          <w:rFonts w:ascii="Times New Roman" w:eastAsia="標楷體" w:hAnsi="Times New Roman" w:cs="Times New Roman"/>
          <w:bCs/>
          <w:color w:val="000000"/>
          <w:sz w:val="32"/>
          <w:szCs w:val="32"/>
        </w:rPr>
        <w:t>」</w:t>
      </w:r>
      <w:r w:rsidR="000D75E6" w:rsidRPr="00455C91">
        <w:rPr>
          <w:rFonts w:ascii="Times New Roman" w:eastAsia="標楷體" w:hAnsi="Times New Roman" w:cs="Times New Roman" w:hint="eastAsia"/>
          <w:bCs/>
          <w:color w:val="000000"/>
          <w:sz w:val="32"/>
          <w:szCs w:val="32"/>
        </w:rPr>
        <w:t>第三條</w:t>
      </w:r>
      <w:r w:rsidR="00455C91">
        <w:rPr>
          <w:rFonts w:ascii="Times New Roman" w:eastAsia="標楷體" w:hAnsi="Times New Roman" w:cs="Times New Roman" w:hint="eastAsia"/>
          <w:bCs/>
          <w:color w:val="000000"/>
          <w:sz w:val="32"/>
          <w:szCs w:val="32"/>
        </w:rPr>
        <w:t>、</w:t>
      </w:r>
      <w:r w:rsidR="00D0062E" w:rsidRPr="00455C91">
        <w:rPr>
          <w:rFonts w:ascii="Times New Roman" w:eastAsia="標楷體" w:hAnsi="Times New Roman" w:cs="Times New Roman"/>
          <w:bCs/>
          <w:color w:val="000000"/>
          <w:sz w:val="32"/>
          <w:szCs w:val="32"/>
        </w:rPr>
        <w:t>第</w:t>
      </w:r>
      <w:r w:rsidR="009B53CF" w:rsidRPr="00455C91">
        <w:rPr>
          <w:rFonts w:ascii="Times New Roman" w:eastAsia="標楷體" w:hAnsi="Times New Roman" w:cs="Times New Roman" w:hint="eastAsia"/>
          <w:bCs/>
          <w:color w:val="000000"/>
          <w:sz w:val="32"/>
          <w:szCs w:val="32"/>
        </w:rPr>
        <w:t>四</w:t>
      </w:r>
      <w:r w:rsidR="00D0062E" w:rsidRPr="00455C91">
        <w:rPr>
          <w:rFonts w:ascii="Times New Roman" w:eastAsia="標楷體" w:hAnsi="Times New Roman" w:cs="Times New Roman"/>
          <w:bCs/>
          <w:color w:val="000000"/>
          <w:sz w:val="32"/>
          <w:szCs w:val="32"/>
        </w:rPr>
        <w:t>條</w:t>
      </w:r>
      <w:r w:rsidR="00CF79E9" w:rsidRPr="00455C91">
        <w:rPr>
          <w:rFonts w:ascii="Times New Roman" w:eastAsia="標楷體" w:hAnsi="Times New Roman" w:cs="Times New Roman"/>
          <w:bCs/>
          <w:color w:val="000000"/>
          <w:sz w:val="32"/>
          <w:szCs w:val="32"/>
        </w:rPr>
        <w:t>修正條文對照表</w:t>
      </w:r>
    </w:p>
    <w:tbl>
      <w:tblPr>
        <w:tblStyle w:val="a5"/>
        <w:tblW w:w="8719" w:type="dxa"/>
        <w:jc w:val="center"/>
        <w:tblLook w:val="04A0" w:firstRow="1" w:lastRow="0" w:firstColumn="1" w:lastColumn="0" w:noHBand="0" w:noVBand="1"/>
      </w:tblPr>
      <w:tblGrid>
        <w:gridCol w:w="2906"/>
        <w:gridCol w:w="2906"/>
        <w:gridCol w:w="2907"/>
      </w:tblGrid>
      <w:tr w:rsidR="00CF79E9" w:rsidRPr="00025F43" w14:paraId="2F0CE33F" w14:textId="77777777" w:rsidTr="00D11F54">
        <w:trPr>
          <w:trHeight w:val="283"/>
          <w:jc w:val="center"/>
        </w:trPr>
        <w:tc>
          <w:tcPr>
            <w:tcW w:w="2906" w:type="dxa"/>
            <w:vAlign w:val="center"/>
          </w:tcPr>
          <w:p w14:paraId="3FE0CBBA" w14:textId="77777777" w:rsidR="00CF79E9" w:rsidRPr="00455C91" w:rsidRDefault="00CF79E9" w:rsidP="00D11F54">
            <w:pPr>
              <w:snapToGrid w:val="0"/>
              <w:jc w:val="center"/>
              <w:rPr>
                <w:rFonts w:ascii="標楷體" w:eastAsia="標楷體" w:hAnsi="標楷體"/>
                <w:color w:val="000000" w:themeColor="text1"/>
                <w:szCs w:val="24"/>
              </w:rPr>
            </w:pPr>
            <w:r w:rsidRPr="00455C91">
              <w:rPr>
                <w:rFonts w:ascii="標楷體" w:eastAsia="標楷體" w:hAnsi="標楷體" w:hint="eastAsia"/>
                <w:color w:val="000000" w:themeColor="text1"/>
                <w:szCs w:val="24"/>
              </w:rPr>
              <w:t>修正條文</w:t>
            </w:r>
          </w:p>
        </w:tc>
        <w:tc>
          <w:tcPr>
            <w:tcW w:w="2906" w:type="dxa"/>
            <w:vAlign w:val="center"/>
          </w:tcPr>
          <w:p w14:paraId="2DF48838" w14:textId="77777777" w:rsidR="00CF79E9" w:rsidRPr="00455C91" w:rsidRDefault="00CF79E9" w:rsidP="00D11F54">
            <w:pPr>
              <w:snapToGrid w:val="0"/>
              <w:jc w:val="center"/>
              <w:rPr>
                <w:rFonts w:ascii="標楷體" w:eastAsia="標楷體" w:hAnsi="標楷體"/>
                <w:color w:val="000000" w:themeColor="text1"/>
                <w:szCs w:val="24"/>
              </w:rPr>
            </w:pPr>
            <w:r w:rsidRPr="00455C91">
              <w:rPr>
                <w:rFonts w:ascii="標楷體" w:eastAsia="標楷體" w:hAnsi="標楷體" w:hint="eastAsia"/>
                <w:color w:val="000000" w:themeColor="text1"/>
                <w:szCs w:val="24"/>
              </w:rPr>
              <w:t>現行條文</w:t>
            </w:r>
          </w:p>
        </w:tc>
        <w:tc>
          <w:tcPr>
            <w:tcW w:w="2907" w:type="dxa"/>
            <w:vAlign w:val="center"/>
          </w:tcPr>
          <w:p w14:paraId="191AAA88" w14:textId="77777777" w:rsidR="00CF79E9" w:rsidRPr="00455C91" w:rsidRDefault="00CF79E9" w:rsidP="00D11F54">
            <w:pPr>
              <w:snapToGrid w:val="0"/>
              <w:jc w:val="center"/>
              <w:rPr>
                <w:rFonts w:ascii="標楷體" w:eastAsia="標楷體" w:hAnsi="標楷體"/>
                <w:color w:val="000000" w:themeColor="text1"/>
                <w:szCs w:val="24"/>
              </w:rPr>
            </w:pPr>
            <w:r w:rsidRPr="00455C91">
              <w:rPr>
                <w:rFonts w:ascii="標楷體" w:eastAsia="標楷體" w:hAnsi="標楷體" w:hint="eastAsia"/>
                <w:color w:val="000000" w:themeColor="text1"/>
                <w:szCs w:val="24"/>
              </w:rPr>
              <w:t>說明</w:t>
            </w:r>
          </w:p>
        </w:tc>
      </w:tr>
      <w:tr w:rsidR="000D5BE9" w:rsidRPr="00025F43" w14:paraId="46E2E134" w14:textId="77777777" w:rsidTr="004819CB">
        <w:trPr>
          <w:trHeight w:val="176"/>
          <w:jc w:val="center"/>
        </w:trPr>
        <w:tc>
          <w:tcPr>
            <w:tcW w:w="2906" w:type="dxa"/>
          </w:tcPr>
          <w:p w14:paraId="1BF7154C" w14:textId="77777777" w:rsidR="000D5BE9" w:rsidRPr="00455C91" w:rsidRDefault="000D5BE9" w:rsidP="000D5BE9">
            <w:pPr>
              <w:spacing w:beforeLines="20" w:before="72" w:line="400" w:lineRule="exact"/>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 xml:space="preserve">第三條  證券商承銷有價證券，其承銷公告應記載下列事項︰ </w:t>
            </w:r>
          </w:p>
          <w:p w14:paraId="70F8C92B" w14:textId="77777777" w:rsidR="000D5BE9" w:rsidRPr="00455C91" w:rsidRDefault="000D5BE9" w:rsidP="000D5BE9">
            <w:pPr>
              <w:spacing w:beforeLines="20" w:before="72" w:line="400" w:lineRule="exact"/>
              <w:ind w:left="408" w:hangingChars="170" w:hanging="408"/>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 xml:space="preserve">一、承銷商名稱、地址、總承銷數量、證券承銷商先行保留自行認購數量及競價拍賣或詢價圈購或公開申購配售或洽商銷售數量。 </w:t>
            </w:r>
          </w:p>
          <w:p w14:paraId="134A582E" w14:textId="77777777" w:rsidR="000D5BE9" w:rsidRPr="00455C91" w:rsidRDefault="000D5BE9" w:rsidP="000D5BE9">
            <w:pPr>
              <w:spacing w:beforeLines="20" w:before="72" w:line="400" w:lineRule="exact"/>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二、承銷價格。</w:t>
            </w:r>
          </w:p>
          <w:p w14:paraId="2625A35F" w14:textId="40B9F1BA" w:rsidR="000D5BE9" w:rsidRPr="00455C91" w:rsidRDefault="000D5BE9" w:rsidP="000D5BE9">
            <w:pPr>
              <w:spacing w:beforeLines="20" w:before="72" w:line="400" w:lineRule="exact"/>
              <w:ind w:left="408" w:hangingChars="170" w:hanging="408"/>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三、初次上市（櫃）承銷案件</w:t>
            </w:r>
            <w:r w:rsidRPr="00455C91">
              <w:rPr>
                <w:rFonts w:ascii="標楷體" w:eastAsia="標楷體" w:hAnsi="標楷體" w:hint="eastAsia"/>
                <w:b/>
                <w:color w:val="000000" w:themeColor="text1"/>
                <w:szCs w:val="24"/>
                <w:u w:val="single"/>
              </w:rPr>
              <w:t>、創新板上市公司轉列上市(櫃)公司承銷案件</w:t>
            </w:r>
            <w:r w:rsidRPr="00455C91">
              <w:rPr>
                <w:rFonts w:ascii="標楷體" w:eastAsia="標楷體" w:hAnsi="標楷體" w:cs="Times New Roman" w:hint="eastAsia"/>
                <w:color w:val="000000" w:themeColor="text1"/>
                <w:szCs w:val="24"/>
              </w:rPr>
              <w:t>，掛牌後首五交易日因無漲跌限制，投資人應注意交易之風險。</w:t>
            </w:r>
          </w:p>
          <w:p w14:paraId="0CF93201" w14:textId="387B509A" w:rsidR="000D5BE9" w:rsidRPr="00455C91" w:rsidRDefault="000D5BE9" w:rsidP="000D5BE9">
            <w:pPr>
              <w:spacing w:beforeLines="20" w:before="72" w:line="400" w:lineRule="exact"/>
              <w:ind w:left="408" w:hangingChars="170" w:hanging="408"/>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四、初次上市（櫃）承銷案件</w:t>
            </w:r>
            <w:r w:rsidRPr="00455C91">
              <w:rPr>
                <w:rFonts w:ascii="標楷體" w:eastAsia="標楷體" w:hAnsi="標楷體" w:hint="eastAsia"/>
                <w:b/>
                <w:color w:val="000000" w:themeColor="text1"/>
                <w:szCs w:val="24"/>
                <w:u w:val="single"/>
              </w:rPr>
              <w:t>、創新板上市公司轉列上市(櫃)公司承銷案件</w:t>
            </w:r>
            <w:r w:rsidRPr="00455C91">
              <w:rPr>
                <w:rFonts w:ascii="標楷體" w:eastAsia="標楷體" w:hAnsi="標楷體" w:cs="Times New Roman" w:hint="eastAsia"/>
                <w:color w:val="000000" w:themeColor="text1"/>
                <w:szCs w:val="24"/>
              </w:rPr>
              <w:t>，主辦承銷商執行過額配售及價格穩定措施之相關資訊及發行公司股東自願送存集保股數占上市（櫃）掛牌資本額之比例及自願送存集保期間。</w:t>
            </w:r>
          </w:p>
          <w:p w14:paraId="4F001692" w14:textId="43C5F634" w:rsidR="00FE45CD" w:rsidRPr="00455C91" w:rsidRDefault="000D5BE9" w:rsidP="00FE45CD">
            <w:pPr>
              <w:spacing w:beforeLines="20" w:before="72" w:line="400" w:lineRule="exact"/>
              <w:ind w:left="408" w:hangingChars="170" w:hanging="408"/>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五、</w:t>
            </w:r>
            <w:r w:rsidR="00FE45CD" w:rsidRPr="00455C91">
              <w:rPr>
                <w:rFonts w:ascii="標楷體" w:eastAsia="標楷體" w:hAnsi="標楷體" w:cs="Times New Roman" w:hint="eastAsia"/>
                <w:color w:val="000000" w:themeColor="text1"/>
                <w:szCs w:val="24"/>
              </w:rPr>
              <w:t>～十六、略。</w:t>
            </w:r>
          </w:p>
          <w:p w14:paraId="771082DA" w14:textId="77777777" w:rsidR="000D5BE9" w:rsidRPr="00455C91" w:rsidRDefault="000D5BE9" w:rsidP="000D5BE9">
            <w:pPr>
              <w:spacing w:beforeLines="20" w:before="72" w:line="400" w:lineRule="exact"/>
              <w:ind w:firstLineChars="200" w:firstLine="480"/>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全數洽商銷售承銷案件，得免記載第一項第十</w:t>
            </w:r>
            <w:r w:rsidRPr="00455C91">
              <w:rPr>
                <w:rFonts w:ascii="標楷體" w:eastAsia="標楷體" w:hAnsi="標楷體" w:cs="Times New Roman" w:hint="eastAsia"/>
                <w:color w:val="000000" w:themeColor="text1"/>
                <w:szCs w:val="24"/>
              </w:rPr>
              <w:lastRenderedPageBreak/>
              <w:t xml:space="preserve">款、第十二款及第十三款規定之內容。 </w:t>
            </w:r>
          </w:p>
          <w:p w14:paraId="4F78E180" w14:textId="77777777" w:rsidR="000D5BE9" w:rsidRPr="00455C91" w:rsidRDefault="000D5BE9" w:rsidP="000D5BE9">
            <w:pPr>
              <w:spacing w:beforeLines="20" w:before="72" w:line="400" w:lineRule="exact"/>
              <w:ind w:firstLineChars="200" w:firstLine="480"/>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非以現金增資辦理股票初次上市(櫃)承銷案件，得免記載第一項第十二款規定之內容。</w:t>
            </w:r>
          </w:p>
          <w:p w14:paraId="6B6FD286" w14:textId="77777777" w:rsidR="000D5BE9" w:rsidRPr="00455C91" w:rsidRDefault="000D5BE9" w:rsidP="000D5BE9">
            <w:pPr>
              <w:spacing w:beforeLines="20" w:before="72" w:line="400" w:lineRule="exact"/>
              <w:ind w:firstLineChars="200" w:firstLine="480"/>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受託機構公開招募受益證券或特殊目的公司公開招募資產基礎證券承銷案件，得免記載第一項第十一款規定之內容。</w:t>
            </w:r>
          </w:p>
          <w:p w14:paraId="5F23DFEF" w14:textId="3BEC5584" w:rsidR="000D5BE9" w:rsidRPr="00455C91" w:rsidRDefault="000D5BE9" w:rsidP="00FE45CD">
            <w:pPr>
              <w:spacing w:beforeLines="20" w:before="72" w:line="400" w:lineRule="exact"/>
              <w:ind w:firstLineChars="200" w:firstLine="480"/>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金融債券承銷案件，得免記載第一項第七款、第十一款及第十三款規定之內容。</w:t>
            </w:r>
          </w:p>
        </w:tc>
        <w:tc>
          <w:tcPr>
            <w:tcW w:w="2906" w:type="dxa"/>
          </w:tcPr>
          <w:p w14:paraId="364BED03" w14:textId="3EE5110F" w:rsidR="000D5BE9" w:rsidRPr="00455C91" w:rsidRDefault="000D5BE9" w:rsidP="000D5BE9">
            <w:pPr>
              <w:spacing w:beforeLines="20" w:before="72" w:line="400" w:lineRule="exact"/>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lastRenderedPageBreak/>
              <w:t xml:space="preserve">第三條  證券商承銷有價證券，其承銷公告應記載下列事項︰ </w:t>
            </w:r>
          </w:p>
          <w:p w14:paraId="19D04B8F" w14:textId="77777777" w:rsidR="000D5BE9" w:rsidRPr="00455C91" w:rsidRDefault="000D5BE9" w:rsidP="000D5BE9">
            <w:pPr>
              <w:spacing w:beforeLines="20" w:before="72" w:line="400" w:lineRule="exact"/>
              <w:ind w:left="408" w:hangingChars="170" w:hanging="408"/>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 xml:space="preserve">一、承銷商名稱、地址、總承銷數量、證券承銷商先行保留自行認購數量及競價拍賣或詢價圈購或公開申購配售或洽商銷售數量。 </w:t>
            </w:r>
          </w:p>
          <w:p w14:paraId="66EF5AA7" w14:textId="77777777" w:rsidR="000D5BE9" w:rsidRPr="00455C91" w:rsidRDefault="000D5BE9" w:rsidP="000D5BE9">
            <w:pPr>
              <w:spacing w:beforeLines="20" w:before="72" w:line="400" w:lineRule="exact"/>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二、承銷價格。</w:t>
            </w:r>
          </w:p>
          <w:p w14:paraId="0775B13B" w14:textId="77777777" w:rsidR="000D5BE9" w:rsidRPr="00455C91" w:rsidRDefault="000D5BE9" w:rsidP="000D5BE9">
            <w:pPr>
              <w:spacing w:beforeLines="20" w:before="72" w:line="400" w:lineRule="exact"/>
              <w:ind w:left="408" w:hangingChars="170" w:hanging="408"/>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三、初次上市（櫃）承銷案件，掛牌後首五交易日因無漲跌限制，投資人應注意交易之風險。</w:t>
            </w:r>
          </w:p>
          <w:p w14:paraId="491CE1E0" w14:textId="52E72D15" w:rsidR="000D5BE9" w:rsidRPr="00455C91" w:rsidRDefault="000D5BE9" w:rsidP="000D5BE9">
            <w:pPr>
              <w:spacing w:beforeLines="20" w:before="72" w:line="400" w:lineRule="exact"/>
              <w:ind w:left="408" w:hangingChars="170" w:hanging="408"/>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四、初次上市（櫃）承銷案件，主辦承銷商執行過額配售及價格穩定措施之相關資訊及發行公司股東自願送存集保股數占上市（櫃）掛牌資本額之比例及自願送存集保期間。</w:t>
            </w:r>
          </w:p>
          <w:p w14:paraId="09B9680F" w14:textId="28D9AA5E" w:rsidR="00FE45CD" w:rsidRPr="00455C91" w:rsidRDefault="00FE45CD" w:rsidP="000D5BE9">
            <w:pPr>
              <w:spacing w:beforeLines="20" w:before="72" w:line="400" w:lineRule="exact"/>
              <w:ind w:left="408" w:hangingChars="170" w:hanging="408"/>
              <w:jc w:val="both"/>
              <w:rPr>
                <w:rFonts w:ascii="標楷體" w:eastAsia="標楷體" w:hAnsi="標楷體" w:cs="Times New Roman"/>
                <w:color w:val="000000" w:themeColor="text1"/>
                <w:szCs w:val="24"/>
              </w:rPr>
            </w:pPr>
          </w:p>
          <w:p w14:paraId="4E024C17" w14:textId="492DF741" w:rsidR="00FE45CD" w:rsidRPr="00455C91" w:rsidRDefault="00FE45CD" w:rsidP="000D5BE9">
            <w:pPr>
              <w:spacing w:beforeLines="20" w:before="72" w:line="400" w:lineRule="exact"/>
              <w:ind w:left="408" w:hangingChars="170" w:hanging="408"/>
              <w:jc w:val="both"/>
              <w:rPr>
                <w:rFonts w:ascii="標楷體" w:eastAsia="標楷體" w:hAnsi="標楷體" w:cs="Times New Roman"/>
                <w:color w:val="000000" w:themeColor="text1"/>
                <w:szCs w:val="24"/>
              </w:rPr>
            </w:pPr>
          </w:p>
          <w:p w14:paraId="03735DD8" w14:textId="7BE3EA27" w:rsidR="00FE45CD" w:rsidRPr="00455C91" w:rsidRDefault="00FE45CD" w:rsidP="000D5BE9">
            <w:pPr>
              <w:spacing w:beforeLines="20" w:before="72" w:line="400" w:lineRule="exact"/>
              <w:ind w:left="408" w:hangingChars="170" w:hanging="408"/>
              <w:jc w:val="both"/>
              <w:rPr>
                <w:rFonts w:ascii="標楷體" w:eastAsia="標楷體" w:hAnsi="標楷體" w:cs="Times New Roman"/>
                <w:color w:val="000000" w:themeColor="text1"/>
                <w:szCs w:val="24"/>
              </w:rPr>
            </w:pPr>
          </w:p>
          <w:p w14:paraId="3C3B8842" w14:textId="77777777" w:rsidR="00FE45CD" w:rsidRPr="00455C91" w:rsidRDefault="00FE45CD" w:rsidP="00FE45CD">
            <w:pPr>
              <w:spacing w:beforeLines="20" w:before="72" w:line="400" w:lineRule="exact"/>
              <w:ind w:left="408" w:hangingChars="170" w:hanging="408"/>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五、～十六、略。</w:t>
            </w:r>
          </w:p>
          <w:p w14:paraId="429CB281" w14:textId="3E2DE576" w:rsidR="000D5BE9" w:rsidRPr="00455C91" w:rsidRDefault="000D5BE9" w:rsidP="000D5BE9">
            <w:pPr>
              <w:spacing w:beforeLines="20" w:before="72" w:line="400" w:lineRule="exact"/>
              <w:ind w:firstLineChars="200" w:firstLine="480"/>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全數洽商銷售承銷案件，得免記載第一項第十</w:t>
            </w:r>
            <w:r w:rsidRPr="00455C91">
              <w:rPr>
                <w:rFonts w:ascii="標楷體" w:eastAsia="標楷體" w:hAnsi="標楷體" w:cs="Times New Roman" w:hint="eastAsia"/>
                <w:color w:val="000000" w:themeColor="text1"/>
                <w:szCs w:val="24"/>
              </w:rPr>
              <w:lastRenderedPageBreak/>
              <w:t xml:space="preserve">款、第十二款及第十三款規定之內容。 </w:t>
            </w:r>
          </w:p>
          <w:p w14:paraId="1078D389" w14:textId="01C8AF38" w:rsidR="000D5BE9" w:rsidRPr="00455C91" w:rsidRDefault="000D5BE9" w:rsidP="000D5BE9">
            <w:pPr>
              <w:spacing w:beforeLines="20" w:before="72" w:line="400" w:lineRule="exact"/>
              <w:ind w:firstLineChars="200" w:firstLine="480"/>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非以現金增資辦理股票初次上市(櫃)承銷案件，得免記載第一項第十二款規定之內容。</w:t>
            </w:r>
          </w:p>
          <w:p w14:paraId="0657EBFD" w14:textId="0AF6B889" w:rsidR="000D5BE9" w:rsidRPr="00455C91" w:rsidRDefault="000D5BE9" w:rsidP="000D5BE9">
            <w:pPr>
              <w:spacing w:beforeLines="20" w:before="72" w:line="400" w:lineRule="exact"/>
              <w:ind w:firstLineChars="200" w:firstLine="480"/>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受託機構公開招募受益證券或特殊目的公司公開招募資產基礎證券承銷案件，得免記載第一項第十一款規定之內容。</w:t>
            </w:r>
          </w:p>
          <w:p w14:paraId="7E52C51D" w14:textId="4731FB93" w:rsidR="000D5BE9" w:rsidRPr="00455C91" w:rsidRDefault="000D5BE9" w:rsidP="000D5BE9">
            <w:pPr>
              <w:spacing w:beforeLines="20" w:before="72" w:line="400" w:lineRule="exact"/>
              <w:ind w:firstLineChars="200" w:firstLine="480"/>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金融債券承銷案件，得免記載第一項第七款、第十一款及第十三款規定之內容。</w:t>
            </w:r>
          </w:p>
        </w:tc>
        <w:tc>
          <w:tcPr>
            <w:tcW w:w="2907" w:type="dxa"/>
          </w:tcPr>
          <w:p w14:paraId="4860DBF3" w14:textId="76B5CFC3" w:rsidR="000D5BE9" w:rsidRPr="00455C91" w:rsidRDefault="000D5BE9" w:rsidP="000D5BE9">
            <w:pPr>
              <w:spacing w:beforeLines="20" w:before="72" w:line="400" w:lineRule="exact"/>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lastRenderedPageBreak/>
              <w:t>修正第一項第三款及第四款，明訂創新板上市公司轉列上市(櫃)案件，承銷公告應載明掛牌後首五交易日無漲跌幅之應注意事項、主辦承銷商執行過額配售</w:t>
            </w:r>
            <w:r w:rsidR="002A6455" w:rsidRPr="00455C91">
              <w:rPr>
                <w:rFonts w:ascii="標楷體" w:eastAsia="標楷體" w:hAnsi="標楷體" w:cs="Times New Roman" w:hint="eastAsia"/>
                <w:color w:val="000000" w:themeColor="text1"/>
                <w:szCs w:val="24"/>
              </w:rPr>
              <w:t>、</w:t>
            </w:r>
            <w:r w:rsidRPr="00455C91">
              <w:rPr>
                <w:rFonts w:ascii="標楷體" w:eastAsia="標楷體" w:hAnsi="標楷體" w:cs="Times New Roman" w:hint="eastAsia"/>
                <w:color w:val="000000" w:themeColor="text1"/>
                <w:szCs w:val="24"/>
              </w:rPr>
              <w:t>穩定價格措施</w:t>
            </w:r>
            <w:r w:rsidR="002A6455" w:rsidRPr="00455C91">
              <w:rPr>
                <w:rFonts w:ascii="標楷體" w:eastAsia="標楷體" w:hAnsi="標楷體" w:cs="Times New Roman" w:hint="eastAsia"/>
                <w:color w:val="000000" w:themeColor="text1"/>
                <w:szCs w:val="24"/>
              </w:rPr>
              <w:t>等資訊</w:t>
            </w:r>
            <w:r w:rsidRPr="00455C91">
              <w:rPr>
                <w:rFonts w:ascii="標楷體" w:eastAsia="標楷體" w:hAnsi="標楷體" w:cs="Times New Roman" w:hint="eastAsia"/>
                <w:color w:val="000000" w:themeColor="text1"/>
                <w:szCs w:val="24"/>
              </w:rPr>
              <w:t>。</w:t>
            </w:r>
          </w:p>
        </w:tc>
      </w:tr>
      <w:tr w:rsidR="000D5BE9" w:rsidRPr="00025F43" w14:paraId="0F27FEF7" w14:textId="77777777" w:rsidTr="004819CB">
        <w:trPr>
          <w:trHeight w:val="176"/>
          <w:jc w:val="center"/>
        </w:trPr>
        <w:tc>
          <w:tcPr>
            <w:tcW w:w="2906" w:type="dxa"/>
          </w:tcPr>
          <w:p w14:paraId="63FC075D" w14:textId="77777777" w:rsidR="000D5BE9" w:rsidRPr="00455C91" w:rsidRDefault="000D5BE9" w:rsidP="000D5BE9">
            <w:pPr>
              <w:spacing w:beforeLines="20" w:before="72" w:line="400" w:lineRule="exact"/>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 xml:space="preserve">第四條 </w:t>
            </w:r>
            <w:r w:rsidRPr="00455C91">
              <w:rPr>
                <w:rFonts w:ascii="標楷體" w:eastAsia="標楷體" w:hAnsi="標楷體" w:cs="Times New Roman"/>
                <w:color w:val="000000" w:themeColor="text1"/>
                <w:szCs w:val="24"/>
              </w:rPr>
              <w:t xml:space="preserve">   </w:t>
            </w:r>
            <w:r w:rsidRPr="00455C91">
              <w:rPr>
                <w:rFonts w:ascii="標楷體" w:eastAsia="標楷體" w:hAnsi="標楷體" w:cs="Times New Roman" w:hint="eastAsia"/>
                <w:color w:val="000000" w:themeColor="text1"/>
                <w:szCs w:val="24"/>
              </w:rPr>
              <w:t>以公開申購配售方式辦理之承銷案件，其承銷公告除依前條規定辦理外，</w:t>
            </w:r>
          </w:p>
          <w:p w14:paraId="56B35BAB" w14:textId="77777777" w:rsidR="000D5BE9" w:rsidRPr="00455C91" w:rsidRDefault="000D5BE9" w:rsidP="000D5BE9">
            <w:pPr>
              <w:spacing w:beforeLines="20" w:before="72" w:line="400" w:lineRule="exact"/>
              <w:ind w:left="360" w:hangingChars="150" w:hanging="360"/>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應記載下列事項︰</w:t>
            </w:r>
          </w:p>
          <w:p w14:paraId="39D083A4" w14:textId="77777777" w:rsidR="000D5BE9" w:rsidRPr="00455C91" w:rsidRDefault="000D5BE9" w:rsidP="000D5BE9">
            <w:pPr>
              <w:spacing w:beforeLines="20" w:before="72" w:line="400" w:lineRule="exact"/>
              <w:ind w:left="360" w:hangingChars="150" w:hanging="360"/>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一、公開申購期間。</w:t>
            </w:r>
          </w:p>
          <w:p w14:paraId="0F570039" w14:textId="77777777" w:rsidR="000D5BE9" w:rsidRPr="00455C91" w:rsidRDefault="000D5BE9" w:rsidP="000D5BE9">
            <w:pPr>
              <w:spacing w:beforeLines="20" w:before="72" w:line="400" w:lineRule="exact"/>
              <w:ind w:left="408" w:hangingChars="170" w:hanging="408"/>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二、載明下列申購人之權利及義務應注意事項︰</w:t>
            </w:r>
          </w:p>
          <w:p w14:paraId="17B055CA" w14:textId="77777777" w:rsidR="000D5BE9" w:rsidRPr="00455C91" w:rsidRDefault="000D5BE9" w:rsidP="000D5BE9">
            <w:pPr>
              <w:spacing w:beforeLines="20" w:before="72" w:line="400" w:lineRule="exact"/>
              <w:ind w:left="600" w:hangingChars="250" w:hanging="600"/>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（一）申購人須開立交易戶、集中保管帳戶及銀行帳戶。</w:t>
            </w:r>
          </w:p>
          <w:p w14:paraId="62D7DA02" w14:textId="77777777" w:rsidR="000D5BE9" w:rsidRPr="00455C91" w:rsidRDefault="000D5BE9" w:rsidP="000D5BE9">
            <w:pPr>
              <w:spacing w:beforeLines="20" w:before="72" w:line="400" w:lineRule="exact"/>
              <w:ind w:left="600" w:hangingChars="250" w:hanging="600"/>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（二）申購人須與款項劃撥銀行簽訂契約。</w:t>
            </w:r>
          </w:p>
          <w:p w14:paraId="0DD35E57" w14:textId="77777777" w:rsidR="000D5BE9" w:rsidRPr="00455C91" w:rsidRDefault="000D5BE9" w:rsidP="000D5BE9">
            <w:pPr>
              <w:spacing w:beforeLines="20" w:before="72" w:line="400" w:lineRule="exact"/>
              <w:ind w:left="600" w:hangingChars="250" w:hanging="600"/>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（三）申購人投件時，銀行存款餘額應足以支付申購處理費、中籤</w:t>
            </w:r>
            <w:r w:rsidRPr="00455C91">
              <w:rPr>
                <w:rFonts w:ascii="標楷體" w:eastAsia="標楷體" w:hAnsi="標楷體" w:cs="Times New Roman" w:hint="eastAsia"/>
                <w:color w:val="000000" w:themeColor="text1"/>
                <w:szCs w:val="24"/>
              </w:rPr>
              <w:lastRenderedPageBreak/>
              <w:t>通知郵寄工本費及認購價款。</w:t>
            </w:r>
          </w:p>
          <w:p w14:paraId="00D6DA65" w14:textId="77777777" w:rsidR="000D5BE9" w:rsidRPr="00455C91" w:rsidRDefault="000D5BE9" w:rsidP="000D5BE9">
            <w:pPr>
              <w:spacing w:beforeLines="20" w:before="72" w:line="400" w:lineRule="exact"/>
              <w:ind w:left="600" w:hangingChars="250" w:hanging="600"/>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（四）如有數個有價證券承銷案於同一天截止申購，當申購人投件參與其中一個以上案件時，銀行存款之扣款應以所申購有價證券處理費、中籤通知郵寄工本費及認購價款之合計總額為準。</w:t>
            </w:r>
          </w:p>
          <w:p w14:paraId="4D84FD4D" w14:textId="77777777" w:rsidR="000D5BE9" w:rsidRPr="00455C91" w:rsidRDefault="000D5BE9" w:rsidP="000D5BE9">
            <w:pPr>
              <w:spacing w:beforeLines="20" w:before="72" w:line="400" w:lineRule="exact"/>
              <w:ind w:left="408" w:hangingChars="170" w:hanging="408"/>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三、申購人不得重複申購。</w:t>
            </w:r>
          </w:p>
          <w:p w14:paraId="01F65E0D" w14:textId="77777777" w:rsidR="000D5BE9" w:rsidRPr="00455C91" w:rsidRDefault="000D5BE9" w:rsidP="000D5BE9">
            <w:pPr>
              <w:spacing w:beforeLines="20" w:before="72" w:line="400" w:lineRule="exact"/>
              <w:ind w:left="408" w:hangingChars="170" w:hanging="408"/>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四、經中籤後不能放棄認購及要求退還價款，申購前應審慎評估。</w:t>
            </w:r>
          </w:p>
          <w:p w14:paraId="6382C6F4" w14:textId="67CEE74D" w:rsidR="000D5BE9" w:rsidRPr="00455C91" w:rsidRDefault="000D5BE9" w:rsidP="000D5BE9">
            <w:pPr>
              <w:spacing w:beforeLines="20" w:before="72" w:line="400" w:lineRule="exact"/>
              <w:ind w:left="408" w:hangingChars="170" w:hanging="408"/>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五、未中籤人及初次上市（櫃）案件</w:t>
            </w:r>
            <w:r w:rsidRPr="00455C91">
              <w:rPr>
                <w:rFonts w:ascii="標楷體" w:eastAsia="標楷體" w:hAnsi="標楷體" w:hint="eastAsia"/>
                <w:b/>
                <w:color w:val="000000" w:themeColor="text1"/>
                <w:szCs w:val="24"/>
                <w:u w:val="single"/>
              </w:rPr>
              <w:t>、股票申請創新板初次上市案件、創新板上市公司轉列上市(櫃)公司承銷案件</w:t>
            </w:r>
            <w:r w:rsidRPr="00455C91">
              <w:rPr>
                <w:rFonts w:ascii="標楷體" w:eastAsia="標楷體" w:hAnsi="標楷體" w:cs="Times New Roman" w:hint="eastAsia"/>
                <w:color w:val="000000" w:themeColor="text1"/>
                <w:szCs w:val="24"/>
              </w:rPr>
              <w:t>採同時辦理詢價圈購與公開申購配售作業者，如實際承銷價格低於詢價圈購價格上限者，中籤人之退款作業。</w:t>
            </w:r>
          </w:p>
          <w:p w14:paraId="2B175B42" w14:textId="77777777" w:rsidR="000D5BE9" w:rsidRPr="00455C91" w:rsidRDefault="000D5BE9" w:rsidP="000D5BE9">
            <w:pPr>
              <w:spacing w:beforeLines="20" w:before="72" w:line="400" w:lineRule="exact"/>
              <w:ind w:left="408" w:hangingChars="170" w:hanging="408"/>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六、申購及中籤名冊之查詢管道。</w:t>
            </w:r>
          </w:p>
          <w:p w14:paraId="3A14AA93" w14:textId="77777777" w:rsidR="000D5BE9" w:rsidRPr="00455C91" w:rsidRDefault="000D5BE9" w:rsidP="000D5BE9">
            <w:pPr>
              <w:spacing w:beforeLines="20" w:before="72" w:line="400" w:lineRule="exact"/>
              <w:ind w:left="408" w:hangingChars="170" w:hanging="408"/>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七、申購處理費、中籤通知郵寄工本費及認購價款繳存截止日。</w:t>
            </w:r>
          </w:p>
          <w:p w14:paraId="45E09AB3" w14:textId="77777777" w:rsidR="000D5BE9" w:rsidRPr="00455C91" w:rsidRDefault="000D5BE9" w:rsidP="000D5BE9">
            <w:pPr>
              <w:spacing w:beforeLines="20" w:before="72" w:line="400" w:lineRule="exact"/>
              <w:ind w:left="408" w:hangingChars="170" w:hanging="408"/>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八、有價證券預定上市、</w:t>
            </w:r>
            <w:r w:rsidRPr="00455C91">
              <w:rPr>
                <w:rFonts w:ascii="標楷體" w:eastAsia="標楷體" w:hAnsi="標楷體" w:cs="Times New Roman" w:hint="eastAsia"/>
                <w:color w:val="000000" w:themeColor="text1"/>
                <w:szCs w:val="24"/>
              </w:rPr>
              <w:lastRenderedPageBreak/>
              <w:t>上櫃日期。</w:t>
            </w:r>
          </w:p>
          <w:p w14:paraId="1DC3AF79" w14:textId="13601F35" w:rsidR="000D5BE9" w:rsidRPr="00455C91" w:rsidRDefault="000D5BE9" w:rsidP="000D5BE9">
            <w:pPr>
              <w:spacing w:beforeLines="20" w:before="72" w:line="400" w:lineRule="exact"/>
              <w:ind w:firstLineChars="200" w:firstLine="480"/>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初次上市（櫃）</w:t>
            </w:r>
            <w:r w:rsidRPr="00455C91">
              <w:rPr>
                <w:rFonts w:ascii="標楷體" w:eastAsia="標楷體" w:hAnsi="標楷體" w:hint="eastAsia"/>
                <w:b/>
                <w:color w:val="000000" w:themeColor="text1"/>
                <w:szCs w:val="24"/>
                <w:u w:val="single"/>
              </w:rPr>
              <w:t>案件、股票申請創新板初次上市案件、創新板上市公司轉列上市(櫃)公司承銷案件</w:t>
            </w:r>
            <w:r w:rsidRPr="00455C91">
              <w:rPr>
                <w:rFonts w:ascii="標楷體" w:eastAsia="標楷體" w:hAnsi="標楷體" w:cs="Times New Roman" w:hint="eastAsia"/>
                <w:color w:val="000000" w:themeColor="text1"/>
                <w:szCs w:val="24"/>
              </w:rPr>
              <w:t>及台灣存託憑證初次發行案件如採同時辦理詢價圈購與公開申購配售作業者，得免記載前項第二款、第三款及第四款規定之內容。</w:t>
            </w:r>
          </w:p>
        </w:tc>
        <w:tc>
          <w:tcPr>
            <w:tcW w:w="2906" w:type="dxa"/>
          </w:tcPr>
          <w:p w14:paraId="6CD32B25" w14:textId="27DA8177" w:rsidR="000D5BE9" w:rsidRPr="00455C91" w:rsidRDefault="000D5BE9" w:rsidP="000D5BE9">
            <w:pPr>
              <w:spacing w:beforeLines="20" w:before="72" w:line="400" w:lineRule="exact"/>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lastRenderedPageBreak/>
              <w:t xml:space="preserve">第四條 </w:t>
            </w:r>
            <w:r w:rsidRPr="00455C91">
              <w:rPr>
                <w:rFonts w:ascii="標楷體" w:eastAsia="標楷體" w:hAnsi="標楷體" w:cs="Times New Roman"/>
                <w:color w:val="000000" w:themeColor="text1"/>
                <w:szCs w:val="24"/>
              </w:rPr>
              <w:t xml:space="preserve">   </w:t>
            </w:r>
            <w:r w:rsidRPr="00455C91">
              <w:rPr>
                <w:rFonts w:ascii="標楷體" w:eastAsia="標楷體" w:hAnsi="標楷體" w:cs="Times New Roman" w:hint="eastAsia"/>
                <w:color w:val="000000" w:themeColor="text1"/>
                <w:szCs w:val="24"/>
              </w:rPr>
              <w:t>以公開申購配售方式辦理之承銷案件，其承銷公告除依前條規定辦理外，</w:t>
            </w:r>
          </w:p>
          <w:p w14:paraId="7C2B2326" w14:textId="77777777" w:rsidR="000D5BE9" w:rsidRPr="00455C91" w:rsidRDefault="000D5BE9" w:rsidP="000D5BE9">
            <w:pPr>
              <w:spacing w:beforeLines="20" w:before="72" w:line="400" w:lineRule="exact"/>
              <w:ind w:left="360" w:hangingChars="150" w:hanging="360"/>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應記載下列事項︰</w:t>
            </w:r>
          </w:p>
          <w:p w14:paraId="1DF05AA0" w14:textId="77777777" w:rsidR="000D5BE9" w:rsidRPr="00455C91" w:rsidRDefault="000D5BE9" w:rsidP="000D5BE9">
            <w:pPr>
              <w:spacing w:beforeLines="20" w:before="72" w:line="400" w:lineRule="exact"/>
              <w:ind w:left="360" w:hangingChars="150" w:hanging="360"/>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一、公開申購期間。</w:t>
            </w:r>
          </w:p>
          <w:p w14:paraId="28D15C4E" w14:textId="7A2048A0" w:rsidR="000D5BE9" w:rsidRPr="00455C91" w:rsidRDefault="000D5BE9" w:rsidP="000D5BE9">
            <w:pPr>
              <w:spacing w:beforeLines="20" w:before="72" w:line="400" w:lineRule="exact"/>
              <w:ind w:left="408" w:hangingChars="170" w:hanging="408"/>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二、載明下列申購人之權利及義務應注意事項︰</w:t>
            </w:r>
          </w:p>
          <w:p w14:paraId="5D835D94" w14:textId="77777777" w:rsidR="000D5BE9" w:rsidRPr="00455C91" w:rsidRDefault="000D5BE9" w:rsidP="000D5BE9">
            <w:pPr>
              <w:spacing w:beforeLines="20" w:before="72" w:line="400" w:lineRule="exact"/>
              <w:ind w:left="600" w:hangingChars="250" w:hanging="600"/>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（一）申購人須開立交易戶、集中保管帳戶及銀行帳戶。</w:t>
            </w:r>
          </w:p>
          <w:p w14:paraId="67FE8C5A" w14:textId="77777777" w:rsidR="000D5BE9" w:rsidRPr="00455C91" w:rsidRDefault="000D5BE9" w:rsidP="000D5BE9">
            <w:pPr>
              <w:spacing w:beforeLines="20" w:before="72" w:line="400" w:lineRule="exact"/>
              <w:ind w:left="600" w:hangingChars="250" w:hanging="600"/>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（二）申購人須與款項劃撥銀行簽訂契約。</w:t>
            </w:r>
          </w:p>
          <w:p w14:paraId="3D556431" w14:textId="5CAA0D74" w:rsidR="000D5BE9" w:rsidRPr="00455C91" w:rsidRDefault="000D5BE9" w:rsidP="000D5BE9">
            <w:pPr>
              <w:spacing w:beforeLines="20" w:before="72" w:line="400" w:lineRule="exact"/>
              <w:ind w:left="600" w:hangingChars="250" w:hanging="600"/>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（三）申購人投件時，銀行存款餘額應足以支付申購處理費、中籤</w:t>
            </w:r>
            <w:r w:rsidRPr="00455C91">
              <w:rPr>
                <w:rFonts w:ascii="標楷體" w:eastAsia="標楷體" w:hAnsi="標楷體" w:cs="Times New Roman" w:hint="eastAsia"/>
                <w:color w:val="000000" w:themeColor="text1"/>
                <w:szCs w:val="24"/>
              </w:rPr>
              <w:lastRenderedPageBreak/>
              <w:t>通知郵寄工本費及認購價款。</w:t>
            </w:r>
          </w:p>
          <w:p w14:paraId="547000AC" w14:textId="23FF4794" w:rsidR="000D5BE9" w:rsidRPr="00455C91" w:rsidRDefault="000D5BE9" w:rsidP="000D5BE9">
            <w:pPr>
              <w:spacing w:beforeLines="20" w:before="72" w:line="400" w:lineRule="exact"/>
              <w:ind w:left="600" w:hangingChars="250" w:hanging="600"/>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（四）如有數個有價證券承銷案於同一天截止申購，當申購人投件參與其中一個以上案件時，銀行存款之扣款應以所申購有價證券處理費、中籤通知郵寄工本費及認購價款之合計總額為準。</w:t>
            </w:r>
          </w:p>
          <w:p w14:paraId="67D69B73" w14:textId="77777777" w:rsidR="000D5BE9" w:rsidRPr="00455C91" w:rsidRDefault="000D5BE9" w:rsidP="000D5BE9">
            <w:pPr>
              <w:spacing w:beforeLines="20" w:before="72" w:line="400" w:lineRule="exact"/>
              <w:ind w:left="408" w:hangingChars="170" w:hanging="408"/>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三、申購人不得重複申購。</w:t>
            </w:r>
          </w:p>
          <w:p w14:paraId="2F168A3B" w14:textId="77777777" w:rsidR="000D5BE9" w:rsidRPr="00455C91" w:rsidRDefault="000D5BE9" w:rsidP="000D5BE9">
            <w:pPr>
              <w:spacing w:beforeLines="20" w:before="72" w:line="400" w:lineRule="exact"/>
              <w:ind w:left="408" w:hangingChars="170" w:hanging="408"/>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四、經中籤後不能放棄認購及要求退還價款，申購前應審慎評估。</w:t>
            </w:r>
          </w:p>
          <w:p w14:paraId="0E17E87A" w14:textId="7BB9D35F" w:rsidR="000D5BE9" w:rsidRPr="00455C91" w:rsidRDefault="000D5BE9" w:rsidP="000D5BE9">
            <w:pPr>
              <w:spacing w:beforeLines="20" w:before="72" w:line="400" w:lineRule="exact"/>
              <w:ind w:left="408" w:hangingChars="170" w:hanging="408"/>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五、未中籤人及初次上市（櫃）案件採同時辦理詢價圈購與公開申購配售作業者，如實際承銷價格低於詢價圈購價格上限者，中籤人之退款作業。</w:t>
            </w:r>
          </w:p>
          <w:p w14:paraId="463E58ED" w14:textId="77777777" w:rsidR="000D5BE9" w:rsidRPr="00455C91" w:rsidRDefault="000D5BE9" w:rsidP="000D5BE9">
            <w:pPr>
              <w:spacing w:beforeLines="20" w:before="72" w:line="400" w:lineRule="exact"/>
              <w:ind w:left="408" w:hangingChars="170" w:hanging="408"/>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六、申購及中籤名冊之查詢管道。</w:t>
            </w:r>
          </w:p>
          <w:p w14:paraId="60E6564F" w14:textId="77777777" w:rsidR="000D5BE9" w:rsidRPr="00455C91" w:rsidRDefault="000D5BE9" w:rsidP="000D5BE9">
            <w:pPr>
              <w:spacing w:beforeLines="20" w:before="72" w:line="400" w:lineRule="exact"/>
              <w:ind w:left="408" w:hangingChars="170" w:hanging="408"/>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七、申購處理費、中籤通知郵寄工本費及認購價款繳存截止日。</w:t>
            </w:r>
          </w:p>
          <w:p w14:paraId="7F8A0936" w14:textId="4B0716A3" w:rsidR="000D5BE9" w:rsidRPr="00455C91" w:rsidRDefault="000D5BE9" w:rsidP="000D5BE9">
            <w:pPr>
              <w:spacing w:beforeLines="20" w:before="72" w:line="400" w:lineRule="exact"/>
              <w:ind w:left="408" w:hangingChars="170" w:hanging="408"/>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八、有價證券預定上市、上櫃日期。</w:t>
            </w:r>
          </w:p>
          <w:p w14:paraId="42757DE0" w14:textId="22EEDB19" w:rsidR="000D5BE9" w:rsidRPr="00455C91" w:rsidRDefault="000D5BE9" w:rsidP="000D5BE9">
            <w:pPr>
              <w:spacing w:beforeLines="20" w:before="72" w:line="400" w:lineRule="exact"/>
              <w:ind w:firstLineChars="200" w:firstLine="480"/>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t>初次上市（櫃）及台灣存託憑證初次發行案件如採同時辦理詢價圈購與公</w:t>
            </w:r>
            <w:r w:rsidRPr="00455C91">
              <w:rPr>
                <w:rFonts w:ascii="標楷體" w:eastAsia="標楷體" w:hAnsi="標楷體" w:cs="Times New Roman" w:hint="eastAsia"/>
                <w:color w:val="000000" w:themeColor="text1"/>
                <w:szCs w:val="24"/>
              </w:rPr>
              <w:lastRenderedPageBreak/>
              <w:t>開申購配售作業者，得免記載前項第二款、第三款及第四款規定之內容。</w:t>
            </w:r>
          </w:p>
        </w:tc>
        <w:tc>
          <w:tcPr>
            <w:tcW w:w="2907" w:type="dxa"/>
          </w:tcPr>
          <w:p w14:paraId="306AE034" w14:textId="4AFEC6D7" w:rsidR="000D5BE9" w:rsidRPr="00455C91" w:rsidRDefault="000D5BE9" w:rsidP="000D5BE9">
            <w:pPr>
              <w:spacing w:beforeLines="20" w:before="72" w:line="400" w:lineRule="exact"/>
              <w:jc w:val="both"/>
              <w:rPr>
                <w:rFonts w:ascii="標楷體" w:eastAsia="標楷體" w:hAnsi="標楷體" w:cs="Times New Roman"/>
                <w:color w:val="000000" w:themeColor="text1"/>
                <w:szCs w:val="24"/>
              </w:rPr>
            </w:pPr>
            <w:r w:rsidRPr="00455C91">
              <w:rPr>
                <w:rFonts w:ascii="標楷體" w:eastAsia="標楷體" w:hAnsi="標楷體" w:cs="Times New Roman" w:hint="eastAsia"/>
                <w:color w:val="000000" w:themeColor="text1"/>
                <w:szCs w:val="24"/>
              </w:rPr>
              <w:lastRenderedPageBreak/>
              <w:t>修正第四條第一項第五款</w:t>
            </w:r>
            <w:r w:rsidR="00797B03" w:rsidRPr="00455C91">
              <w:rPr>
                <w:rFonts w:ascii="標楷體" w:eastAsia="標楷體" w:hAnsi="標楷體" w:cs="Times New Roman" w:hint="eastAsia"/>
                <w:color w:val="000000" w:themeColor="text1"/>
                <w:szCs w:val="24"/>
              </w:rPr>
              <w:t>及</w:t>
            </w:r>
            <w:r w:rsidRPr="00455C91">
              <w:rPr>
                <w:rFonts w:ascii="標楷體" w:eastAsia="標楷體" w:hAnsi="標楷體" w:cs="Times New Roman" w:hint="eastAsia"/>
                <w:color w:val="000000" w:themeColor="text1"/>
                <w:szCs w:val="24"/>
              </w:rPr>
              <w:t>第二項，明訂創新板初次上市</w:t>
            </w:r>
            <w:r w:rsidR="00797B03" w:rsidRPr="00455C91">
              <w:rPr>
                <w:rFonts w:ascii="標楷體" w:eastAsia="標楷體" w:hAnsi="標楷體" w:cs="Times New Roman" w:hint="eastAsia"/>
                <w:color w:val="000000" w:themeColor="text1"/>
                <w:szCs w:val="24"/>
              </w:rPr>
              <w:t>及創新板上市公司轉列上市(櫃)公司承銷案件，</w:t>
            </w:r>
            <w:r w:rsidRPr="00455C91">
              <w:rPr>
                <w:rFonts w:ascii="標楷體" w:eastAsia="標楷體" w:hAnsi="標楷體" w:cs="Times New Roman" w:hint="eastAsia"/>
                <w:color w:val="000000" w:themeColor="text1"/>
                <w:szCs w:val="24"/>
              </w:rPr>
              <w:t>如採同時辦理詢價圈購與公開申購配售作業者，承銷公告</w:t>
            </w:r>
            <w:r w:rsidR="00797B03" w:rsidRPr="00455C91">
              <w:rPr>
                <w:rFonts w:ascii="標楷體" w:eastAsia="標楷體" w:hAnsi="標楷體" w:cs="Times New Roman" w:hint="eastAsia"/>
                <w:color w:val="000000" w:themeColor="text1"/>
                <w:szCs w:val="24"/>
              </w:rPr>
              <w:t>應記載實際承銷價格低於詢圈上限之中籤退款作業及其他</w:t>
            </w:r>
            <w:r w:rsidRPr="00455C91">
              <w:rPr>
                <w:rFonts w:ascii="標楷體" w:eastAsia="標楷體" w:hAnsi="標楷體" w:cs="Times New Roman" w:hint="eastAsia"/>
                <w:color w:val="000000" w:themeColor="text1"/>
                <w:szCs w:val="24"/>
              </w:rPr>
              <w:t>得免記載之事項。</w:t>
            </w:r>
          </w:p>
        </w:tc>
      </w:tr>
    </w:tbl>
    <w:p w14:paraId="2310A098" w14:textId="77777777" w:rsidR="008A3297" w:rsidRPr="00CF79E9" w:rsidRDefault="008A3297"/>
    <w:sectPr w:rsidR="008A3297" w:rsidRPr="00CF79E9" w:rsidSect="007A3B2C">
      <w:footerReference w:type="default" r:id="rId6"/>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FECB" w14:textId="77777777" w:rsidR="008671B8" w:rsidRDefault="008671B8" w:rsidP="00A15F84">
      <w:r>
        <w:separator/>
      </w:r>
    </w:p>
  </w:endnote>
  <w:endnote w:type="continuationSeparator" w:id="0">
    <w:p w14:paraId="6EE0200E" w14:textId="77777777" w:rsidR="008671B8" w:rsidRDefault="008671B8" w:rsidP="00A1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399329"/>
      <w:docPartObj>
        <w:docPartGallery w:val="Page Numbers (Bottom of Page)"/>
        <w:docPartUnique/>
      </w:docPartObj>
    </w:sdtPr>
    <w:sdtEndPr>
      <w:rPr>
        <w:sz w:val="24"/>
        <w:szCs w:val="24"/>
      </w:rPr>
    </w:sdtEndPr>
    <w:sdtContent>
      <w:p w14:paraId="4E5850A1" w14:textId="5B784546" w:rsidR="00B0575D" w:rsidRPr="00B0575D" w:rsidRDefault="00B0575D">
        <w:pPr>
          <w:pStyle w:val="a8"/>
          <w:jc w:val="center"/>
          <w:rPr>
            <w:sz w:val="24"/>
            <w:szCs w:val="24"/>
          </w:rPr>
        </w:pPr>
        <w:r w:rsidRPr="00B0575D">
          <w:rPr>
            <w:sz w:val="24"/>
            <w:szCs w:val="24"/>
          </w:rPr>
          <w:fldChar w:fldCharType="begin"/>
        </w:r>
        <w:r w:rsidRPr="00B0575D">
          <w:rPr>
            <w:sz w:val="24"/>
            <w:szCs w:val="24"/>
          </w:rPr>
          <w:instrText>PAGE   \* MERGEFORMAT</w:instrText>
        </w:r>
        <w:r w:rsidRPr="00B0575D">
          <w:rPr>
            <w:sz w:val="24"/>
            <w:szCs w:val="24"/>
          </w:rPr>
          <w:fldChar w:fldCharType="separate"/>
        </w:r>
        <w:r w:rsidRPr="00B0575D">
          <w:rPr>
            <w:sz w:val="24"/>
            <w:szCs w:val="24"/>
            <w:lang w:val="zh-TW"/>
          </w:rPr>
          <w:t>2</w:t>
        </w:r>
        <w:r w:rsidRPr="00B0575D">
          <w:rPr>
            <w:sz w:val="24"/>
            <w:szCs w:val="24"/>
          </w:rPr>
          <w:fldChar w:fldCharType="end"/>
        </w:r>
      </w:p>
    </w:sdtContent>
  </w:sdt>
  <w:p w14:paraId="1DC1E399" w14:textId="77777777" w:rsidR="00B0575D" w:rsidRDefault="00B057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E822" w14:textId="77777777" w:rsidR="008671B8" w:rsidRDefault="008671B8" w:rsidP="00A15F84">
      <w:r>
        <w:separator/>
      </w:r>
    </w:p>
  </w:footnote>
  <w:footnote w:type="continuationSeparator" w:id="0">
    <w:p w14:paraId="775F20C2" w14:textId="77777777" w:rsidR="008671B8" w:rsidRDefault="008671B8" w:rsidP="00A15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E9"/>
    <w:rsid w:val="00000933"/>
    <w:rsid w:val="00025F43"/>
    <w:rsid w:val="00033D89"/>
    <w:rsid w:val="00095E40"/>
    <w:rsid w:val="000D5BE9"/>
    <w:rsid w:val="000D75E6"/>
    <w:rsid w:val="000E3AEC"/>
    <w:rsid w:val="0014135D"/>
    <w:rsid w:val="001E618B"/>
    <w:rsid w:val="001F3FB5"/>
    <w:rsid w:val="002234CB"/>
    <w:rsid w:val="002A6455"/>
    <w:rsid w:val="003A77BA"/>
    <w:rsid w:val="00450B30"/>
    <w:rsid w:val="00455C91"/>
    <w:rsid w:val="004819CB"/>
    <w:rsid w:val="0055259B"/>
    <w:rsid w:val="00603851"/>
    <w:rsid w:val="00631D7A"/>
    <w:rsid w:val="00681F9E"/>
    <w:rsid w:val="0068641C"/>
    <w:rsid w:val="00687C00"/>
    <w:rsid w:val="0069517A"/>
    <w:rsid w:val="006B384D"/>
    <w:rsid w:val="00797B03"/>
    <w:rsid w:val="007A3B2C"/>
    <w:rsid w:val="007A459A"/>
    <w:rsid w:val="007F09D4"/>
    <w:rsid w:val="00814B92"/>
    <w:rsid w:val="008671B8"/>
    <w:rsid w:val="008A3297"/>
    <w:rsid w:val="008B61E7"/>
    <w:rsid w:val="009B53CF"/>
    <w:rsid w:val="009C3BE6"/>
    <w:rsid w:val="00A15F84"/>
    <w:rsid w:val="00A572D2"/>
    <w:rsid w:val="00B0575D"/>
    <w:rsid w:val="00B64BF3"/>
    <w:rsid w:val="00C502A5"/>
    <w:rsid w:val="00CC4769"/>
    <w:rsid w:val="00CF79E9"/>
    <w:rsid w:val="00D0062E"/>
    <w:rsid w:val="00D20F8D"/>
    <w:rsid w:val="00D72D4B"/>
    <w:rsid w:val="00DF7823"/>
    <w:rsid w:val="00E42751"/>
    <w:rsid w:val="00ED3B2A"/>
    <w:rsid w:val="00EE4942"/>
    <w:rsid w:val="00F12C9C"/>
    <w:rsid w:val="00F81509"/>
    <w:rsid w:val="00FE45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A29EC"/>
  <w15:chartTrackingRefBased/>
  <w15:docId w15:val="{00411E8D-7F9F-49BA-A591-C1BE579D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CF79E9"/>
    <w:rPr>
      <w:rFonts w:ascii="細明體" w:eastAsia="細明體" w:hAnsi="Courier New" w:cs="Times New Roman"/>
      <w:szCs w:val="20"/>
    </w:rPr>
  </w:style>
  <w:style w:type="character" w:customStyle="1" w:styleId="a4">
    <w:name w:val="純文字 字元"/>
    <w:basedOn w:val="a0"/>
    <w:link w:val="a3"/>
    <w:semiHidden/>
    <w:rsid w:val="00CF79E9"/>
    <w:rPr>
      <w:rFonts w:ascii="細明體" w:eastAsia="細明體" w:hAnsi="Courier New" w:cs="Times New Roman"/>
      <w:szCs w:val="20"/>
    </w:rPr>
  </w:style>
  <w:style w:type="table" w:styleId="a5">
    <w:name w:val="Table Grid"/>
    <w:basedOn w:val="a1"/>
    <w:uiPriority w:val="39"/>
    <w:rsid w:val="00CF7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15F84"/>
    <w:pPr>
      <w:tabs>
        <w:tab w:val="center" w:pos="4153"/>
        <w:tab w:val="right" w:pos="8306"/>
      </w:tabs>
      <w:snapToGrid w:val="0"/>
    </w:pPr>
    <w:rPr>
      <w:sz w:val="20"/>
      <w:szCs w:val="20"/>
    </w:rPr>
  </w:style>
  <w:style w:type="character" w:customStyle="1" w:styleId="a7">
    <w:name w:val="頁首 字元"/>
    <w:basedOn w:val="a0"/>
    <w:link w:val="a6"/>
    <w:uiPriority w:val="99"/>
    <w:rsid w:val="00A15F84"/>
    <w:rPr>
      <w:sz w:val="20"/>
      <w:szCs w:val="20"/>
    </w:rPr>
  </w:style>
  <w:style w:type="paragraph" w:styleId="a8">
    <w:name w:val="footer"/>
    <w:basedOn w:val="a"/>
    <w:link w:val="a9"/>
    <w:uiPriority w:val="99"/>
    <w:unhideWhenUsed/>
    <w:rsid w:val="00A15F84"/>
    <w:pPr>
      <w:tabs>
        <w:tab w:val="center" w:pos="4153"/>
        <w:tab w:val="right" w:pos="8306"/>
      </w:tabs>
      <w:snapToGrid w:val="0"/>
    </w:pPr>
    <w:rPr>
      <w:sz w:val="20"/>
      <w:szCs w:val="20"/>
    </w:rPr>
  </w:style>
  <w:style w:type="character" w:customStyle="1" w:styleId="a9">
    <w:name w:val="頁尾 字元"/>
    <w:basedOn w:val="a0"/>
    <w:link w:val="a8"/>
    <w:uiPriority w:val="99"/>
    <w:rsid w:val="00A15F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鍾韻琳</dc:creator>
  <cp:keywords/>
  <dc:description/>
  <cp:lastModifiedBy>鍾韻琳</cp:lastModifiedBy>
  <cp:revision>4</cp:revision>
  <cp:lastPrinted>2023-06-30T01:33:00Z</cp:lastPrinted>
  <dcterms:created xsi:type="dcterms:W3CDTF">2023-06-29T14:26:00Z</dcterms:created>
  <dcterms:modified xsi:type="dcterms:W3CDTF">2023-06-30T01:47:00Z</dcterms:modified>
</cp:coreProperties>
</file>